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DD5" w:rsidRDefault="000D7DD5">
      <w:pPr>
        <w:pStyle w:val="Otsikko1"/>
        <w:tabs>
          <w:tab w:val="left" w:pos="-900"/>
        </w:tabs>
      </w:pPr>
      <w:r>
        <w:t>ÖKOTUGITEGEVUSE ESIALGNE KAARDISTAMINE</w:t>
      </w:r>
    </w:p>
    <w:p w:rsidR="000D7DD5" w:rsidRDefault="000D7DD5">
      <w:pPr>
        <w:ind w:left="-900"/>
        <w:rPr>
          <w:rFonts w:ascii="Arial" w:hAnsi="Arial" w:cs="Arial"/>
          <w:b/>
          <w:bCs/>
          <w:i/>
          <w:iCs/>
          <w:color w:val="008000"/>
          <w:sz w:val="22"/>
          <w:szCs w:val="22"/>
        </w:rPr>
      </w:pPr>
    </w:p>
    <w:p w:rsidR="000D7DD5" w:rsidRDefault="000D7DD5">
      <w:pPr>
        <w:ind w:left="-900"/>
        <w:rPr>
          <w:rFonts w:ascii="Arial" w:hAnsi="Arial" w:cs="Arial"/>
          <w:b/>
          <w:bCs/>
          <w:i/>
          <w:iCs/>
          <w:color w:val="008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>Hea</w:t>
      </w:r>
      <w:proofErr w:type="spellEnd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>ökotugiisik</w:t>
      </w:r>
      <w:proofErr w:type="spellEnd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>,</w:t>
      </w:r>
    </w:p>
    <w:p w:rsidR="000D7DD5" w:rsidRDefault="000D7DD5">
      <w:pPr>
        <w:ind w:left="-900"/>
        <w:rPr>
          <w:rFonts w:ascii="Arial" w:hAnsi="Arial" w:cs="Arial"/>
          <w:sz w:val="22"/>
          <w:szCs w:val="22"/>
        </w:rPr>
      </w:pPr>
    </w:p>
    <w:p w:rsidR="000D7DD5" w:rsidRDefault="000D7DD5">
      <w:pPr>
        <w:ind w:left="-9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nüüd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käes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ökotugitegevuse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esialgse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kaardistamise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ankeet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lihtsalt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pildi</w:t>
      </w:r>
      <w:proofErr w:type="spellEnd"/>
      <w:r>
        <w:rPr>
          <w:rFonts w:ascii="Arial" w:hAnsi="Arial" w:cs="Arial"/>
          <w:sz w:val="22"/>
          <w:szCs w:val="22"/>
        </w:rPr>
        <w:t xml:space="preserve"> oma </w:t>
      </w:r>
      <w:proofErr w:type="spellStart"/>
      <w:r>
        <w:rPr>
          <w:rFonts w:ascii="Arial" w:hAnsi="Arial" w:cs="Arial"/>
          <w:sz w:val="22"/>
          <w:szCs w:val="22"/>
        </w:rPr>
        <w:t>töökoha</w:t>
      </w:r>
      <w:proofErr w:type="spellEnd"/>
      <w:r>
        <w:rPr>
          <w:rFonts w:ascii="Arial" w:hAnsi="Arial" w:cs="Arial"/>
          <w:sz w:val="22"/>
          <w:szCs w:val="22"/>
        </w:rPr>
        <w:t xml:space="preserve"> energia, </w:t>
      </w:r>
      <w:proofErr w:type="spellStart"/>
      <w:r>
        <w:rPr>
          <w:rFonts w:ascii="Arial" w:hAnsi="Arial" w:cs="Arial"/>
          <w:sz w:val="22"/>
          <w:szCs w:val="22"/>
        </w:rPr>
        <w:t>vee</w:t>
      </w:r>
      <w:proofErr w:type="spellEnd"/>
      <w:r>
        <w:rPr>
          <w:rFonts w:ascii="Arial" w:hAnsi="Arial" w:cs="Arial"/>
          <w:sz w:val="22"/>
          <w:szCs w:val="22"/>
        </w:rPr>
        <w:t xml:space="preserve"> ja </w:t>
      </w:r>
      <w:proofErr w:type="spellStart"/>
      <w:r>
        <w:rPr>
          <w:rFonts w:ascii="Arial" w:hAnsi="Arial" w:cs="Arial"/>
          <w:sz w:val="22"/>
          <w:szCs w:val="22"/>
        </w:rPr>
        <w:t>paberi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kulutamise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jäätmete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tekkimise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ennetamise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jäätmete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sorteerimise</w:t>
      </w:r>
      <w:proofErr w:type="spellEnd"/>
      <w:r>
        <w:rPr>
          <w:rFonts w:ascii="Arial" w:hAnsi="Arial" w:cs="Arial"/>
          <w:sz w:val="22"/>
          <w:szCs w:val="22"/>
        </w:rPr>
        <w:t xml:space="preserve"> ja </w:t>
      </w:r>
      <w:proofErr w:type="spellStart"/>
      <w:r>
        <w:rPr>
          <w:rFonts w:ascii="Arial" w:hAnsi="Arial" w:cs="Arial"/>
          <w:sz w:val="22"/>
          <w:szCs w:val="22"/>
        </w:rPr>
        <w:t>taaskasutuse</w:t>
      </w:r>
      <w:proofErr w:type="spellEnd"/>
      <w:r>
        <w:rPr>
          <w:rFonts w:ascii="Arial" w:hAnsi="Arial" w:cs="Arial"/>
          <w:sz w:val="22"/>
          <w:szCs w:val="22"/>
        </w:rPr>
        <w:t xml:space="preserve"> kohta </w:t>
      </w:r>
      <w:proofErr w:type="spellStart"/>
      <w:r>
        <w:rPr>
          <w:rFonts w:ascii="Arial" w:hAnsi="Arial" w:cs="Arial"/>
          <w:sz w:val="22"/>
          <w:szCs w:val="22"/>
        </w:rPr>
        <w:t>ning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hangete</w:t>
      </w:r>
      <w:proofErr w:type="spellEnd"/>
      <w:r>
        <w:rPr>
          <w:rFonts w:ascii="Arial" w:hAnsi="Arial" w:cs="Arial"/>
          <w:sz w:val="22"/>
          <w:szCs w:val="22"/>
        </w:rPr>
        <w:t xml:space="preserve"> ja </w:t>
      </w:r>
      <w:proofErr w:type="spellStart"/>
      <w:r>
        <w:rPr>
          <w:rFonts w:ascii="Arial" w:hAnsi="Arial" w:cs="Arial"/>
          <w:sz w:val="22"/>
          <w:szCs w:val="22"/>
        </w:rPr>
        <w:t>liikumiste</w:t>
      </w:r>
      <w:proofErr w:type="spellEnd"/>
      <w:r>
        <w:rPr>
          <w:rFonts w:ascii="Arial" w:hAnsi="Arial" w:cs="Arial"/>
          <w:sz w:val="22"/>
          <w:szCs w:val="22"/>
        </w:rPr>
        <w:t xml:space="preserve"> kohta. </w:t>
      </w:r>
    </w:p>
    <w:p w:rsidR="000D7DD5" w:rsidRDefault="000D7DD5">
      <w:pPr>
        <w:ind w:left="-900"/>
        <w:jc w:val="both"/>
        <w:rPr>
          <w:rFonts w:ascii="Arial" w:hAnsi="Arial" w:cs="Arial"/>
          <w:sz w:val="22"/>
          <w:szCs w:val="22"/>
        </w:rPr>
      </w:pPr>
    </w:p>
    <w:p w:rsidR="000D7DD5" w:rsidRDefault="000D7DD5">
      <w:pPr>
        <w:ind w:left="-90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ankeedi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täitnud</w:t>
      </w:r>
      <w:proofErr w:type="spellEnd"/>
      <w:r>
        <w:rPr>
          <w:rFonts w:ascii="Arial" w:hAnsi="Arial" w:cs="Arial"/>
          <w:sz w:val="22"/>
          <w:szCs w:val="22"/>
        </w:rPr>
        <w:t xml:space="preserve">, siis vaata </w:t>
      </w:r>
      <w:proofErr w:type="spellStart"/>
      <w:r>
        <w:rPr>
          <w:rFonts w:ascii="Arial" w:hAnsi="Arial" w:cs="Arial"/>
          <w:sz w:val="22"/>
          <w:szCs w:val="22"/>
        </w:rPr>
        <w:t>veel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üle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punktid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töökohas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korras</w:t>
      </w:r>
      <w:proofErr w:type="spellEnd"/>
      <w:r>
        <w:rPr>
          <w:rFonts w:ascii="Arial" w:hAnsi="Arial" w:cs="Arial"/>
          <w:sz w:val="22"/>
          <w:szCs w:val="22"/>
        </w:rPr>
        <w:t xml:space="preserve"> ja </w:t>
      </w:r>
      <w:proofErr w:type="spellStart"/>
      <w:r>
        <w:rPr>
          <w:rFonts w:ascii="Arial" w:hAnsi="Arial" w:cs="Arial"/>
          <w:sz w:val="22"/>
          <w:szCs w:val="22"/>
        </w:rPr>
        <w:t>otsusta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missuguse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teemaga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soovid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alustada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0D7DD5" w:rsidRDefault="000D7DD5">
      <w:pPr>
        <w:ind w:left="-900"/>
        <w:jc w:val="both"/>
        <w:rPr>
          <w:rFonts w:ascii="Arial" w:hAnsi="Arial" w:cs="Arial"/>
          <w:sz w:val="22"/>
          <w:szCs w:val="22"/>
        </w:rPr>
      </w:pPr>
    </w:p>
    <w:p w:rsidR="000D7DD5" w:rsidRDefault="000D7DD5">
      <w:pPr>
        <w:ind w:left="-9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teinud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selliseid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protseduure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mida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ankeedis</w:t>
      </w:r>
      <w:proofErr w:type="spellEnd"/>
      <w:r>
        <w:rPr>
          <w:rFonts w:ascii="Arial" w:hAnsi="Arial" w:cs="Arial"/>
          <w:sz w:val="22"/>
          <w:szCs w:val="22"/>
        </w:rPr>
        <w:t xml:space="preserve"> ei ole, </w:t>
      </w:r>
      <w:proofErr w:type="spellStart"/>
      <w:r>
        <w:rPr>
          <w:rFonts w:ascii="Arial" w:hAnsi="Arial" w:cs="Arial"/>
          <w:sz w:val="22"/>
          <w:szCs w:val="22"/>
        </w:rPr>
        <w:t>võite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lisada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tabelitesse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tühjadesse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lahtritesse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või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vabadele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ridadele</w:t>
      </w:r>
      <w:proofErr w:type="spellEnd"/>
      <w:r>
        <w:rPr>
          <w:rFonts w:ascii="Arial" w:hAnsi="Arial" w:cs="Arial"/>
          <w:sz w:val="22"/>
          <w:szCs w:val="22"/>
        </w:rPr>
        <w:t xml:space="preserve">. Ja </w:t>
      </w:r>
      <w:proofErr w:type="spellStart"/>
      <w:r>
        <w:rPr>
          <w:rFonts w:ascii="Arial" w:hAnsi="Arial" w:cs="Arial"/>
          <w:sz w:val="22"/>
          <w:szCs w:val="22"/>
        </w:rPr>
        <w:t>kui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mõni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teatud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protseduur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või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toiming</w:t>
      </w:r>
      <w:proofErr w:type="spellEnd"/>
      <w:r>
        <w:rPr>
          <w:rFonts w:ascii="Arial" w:hAnsi="Arial" w:cs="Arial"/>
          <w:sz w:val="22"/>
          <w:szCs w:val="22"/>
        </w:rPr>
        <w:t xml:space="preserve"> ei </w:t>
      </w:r>
      <w:proofErr w:type="spellStart"/>
      <w:r>
        <w:rPr>
          <w:rFonts w:ascii="Arial" w:hAnsi="Arial" w:cs="Arial"/>
          <w:sz w:val="22"/>
          <w:szCs w:val="22"/>
        </w:rPr>
        <w:t>seondu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töökoha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tegevusalaga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võid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jätta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tähelepanuta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Ankeedi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lõpus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võimalus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esitada</w:t>
      </w:r>
      <w:proofErr w:type="spellEnd"/>
      <w:r>
        <w:rPr>
          <w:rFonts w:ascii="Arial" w:hAnsi="Arial" w:cs="Arial"/>
          <w:sz w:val="22"/>
          <w:szCs w:val="22"/>
        </w:rPr>
        <w:t xml:space="preserve"> oma </w:t>
      </w:r>
      <w:proofErr w:type="spellStart"/>
      <w:r>
        <w:rPr>
          <w:rFonts w:ascii="Arial" w:hAnsi="Arial" w:cs="Arial"/>
          <w:sz w:val="22"/>
          <w:szCs w:val="22"/>
        </w:rPr>
        <w:t>ettepanekuid</w:t>
      </w:r>
      <w:proofErr w:type="spellEnd"/>
      <w:r>
        <w:rPr>
          <w:rFonts w:ascii="Arial" w:hAnsi="Arial" w:cs="Arial"/>
          <w:sz w:val="22"/>
          <w:szCs w:val="22"/>
        </w:rPr>
        <w:t>!</w:t>
      </w:r>
    </w:p>
    <w:p w:rsidR="000D7DD5" w:rsidRDefault="000D7DD5">
      <w:pPr>
        <w:ind w:left="-900"/>
        <w:rPr>
          <w:rFonts w:ascii="Arial" w:hAnsi="Arial" w:cs="Arial"/>
          <w:sz w:val="22"/>
          <w:szCs w:val="22"/>
        </w:rPr>
      </w:pPr>
    </w:p>
    <w:p w:rsidR="000D7DD5" w:rsidRDefault="000D7DD5">
      <w:pPr>
        <w:ind w:left="-90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Ökotugitervitustega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0D7DD5" w:rsidRDefault="000D7DD5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Ahto ja </w:t>
      </w:r>
      <w:proofErr w:type="spellStart"/>
      <w:r>
        <w:rPr>
          <w:rFonts w:ascii="Arial" w:hAnsi="Arial" w:cs="Arial"/>
          <w:sz w:val="22"/>
          <w:szCs w:val="22"/>
        </w:rPr>
        <w:t>Žanna</w:t>
      </w:r>
      <w:proofErr w:type="spellEnd"/>
    </w:p>
    <w:p w:rsidR="000D7DD5" w:rsidRDefault="000D7DD5">
      <w:pPr>
        <w:ind w:left="-900"/>
        <w:rPr>
          <w:rFonts w:ascii="Arial" w:hAnsi="Arial" w:cs="Arial"/>
          <w:sz w:val="22"/>
          <w:szCs w:val="22"/>
        </w:rPr>
      </w:pPr>
    </w:p>
    <w:p w:rsidR="000D7DD5" w:rsidRDefault="000D7DD5">
      <w:pPr>
        <w:ind w:left="-90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Amet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ja </w:t>
      </w:r>
      <w:proofErr w:type="spellStart"/>
      <w:r>
        <w:rPr>
          <w:rFonts w:ascii="Arial" w:hAnsi="Arial" w:cs="Arial"/>
          <w:b/>
          <w:sz w:val="22"/>
          <w:szCs w:val="22"/>
        </w:rPr>
        <w:t>üksus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0D7DD5" w:rsidRDefault="000D7DD5">
      <w:pPr>
        <w:ind w:left="-900"/>
        <w:rPr>
          <w:rFonts w:ascii="Arial" w:hAnsi="Arial" w:cs="Arial"/>
          <w:sz w:val="22"/>
          <w:szCs w:val="22"/>
        </w:rPr>
      </w:pPr>
    </w:p>
    <w:p w:rsidR="000D7DD5" w:rsidRDefault="000D7DD5">
      <w:pPr>
        <w:ind w:left="-90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Ökotugiisik</w:t>
      </w:r>
      <w:proofErr w:type="spellEnd"/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ud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): </w:t>
      </w:r>
    </w:p>
    <w:p w:rsidR="000D7DD5" w:rsidRDefault="000D7DD5">
      <w:pPr>
        <w:ind w:left="-900"/>
        <w:rPr>
          <w:rFonts w:ascii="Arial" w:hAnsi="Arial" w:cs="Arial"/>
          <w:b/>
          <w:sz w:val="22"/>
          <w:szCs w:val="22"/>
        </w:rPr>
      </w:pPr>
    </w:p>
    <w:p w:rsidR="00B6262E" w:rsidRDefault="000D7DD5">
      <w:pPr>
        <w:ind w:left="-90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Esialgse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kaardistamise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tegemise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kuupäev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B6262E" w:rsidRDefault="00B6262E">
      <w:pPr>
        <w:ind w:left="-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0D7DD5" w:rsidRDefault="00B6262E">
      <w:pPr>
        <w:ind w:left="-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D7DD5" w:rsidRDefault="000D7DD5">
      <w:pPr>
        <w:ind w:left="-900"/>
        <w:rPr>
          <w:rFonts w:ascii="Arial" w:hAnsi="Arial" w:cs="Arial"/>
        </w:rPr>
      </w:pPr>
    </w:p>
    <w:p w:rsidR="00B6262E" w:rsidRPr="00B6262E" w:rsidRDefault="000D7DD5" w:rsidP="00B6262E">
      <w:pPr>
        <w:numPr>
          <w:ilvl w:val="0"/>
          <w:numId w:val="2"/>
        </w:numPr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B6262E">
        <w:rPr>
          <w:rFonts w:ascii="Arial" w:hAnsi="Arial" w:cs="Arial"/>
          <w:b/>
          <w:color w:val="E36C0A" w:themeColor="accent6" w:themeShade="BF"/>
          <w:sz w:val="28"/>
          <w:szCs w:val="28"/>
        </w:rPr>
        <w:t>JÄÄTMETE TEKKIMISE ENNETAMINE, SORTEERIMINE JA TAASKASUTUS</w:t>
      </w:r>
    </w:p>
    <w:tbl>
      <w:tblPr>
        <w:tblW w:w="0" w:type="auto"/>
        <w:tblInd w:w="-1005" w:type="dxa"/>
        <w:tblLayout w:type="fixed"/>
        <w:tblLook w:val="0000"/>
      </w:tblPr>
      <w:tblGrid>
        <w:gridCol w:w="9150"/>
        <w:gridCol w:w="765"/>
        <w:gridCol w:w="591"/>
      </w:tblGrid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8000"/>
                <w:sz w:val="22"/>
                <w:szCs w:val="22"/>
              </w:rPr>
              <w:t>MEEDE, PROTSEDUUR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JAH</w:t>
            </w: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Kasutuses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kestvustooted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-nõud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ühekordsete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asemel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hangitakse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taaskasutatavates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pakendites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soovitatavad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vähe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pakitud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väldi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liigselt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pakitud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tooteid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Värvikassetid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vastavalt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juhistele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Tarbetud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ära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näit.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Taaskasutuskeskuse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kaudu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Töökohas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taaskasutuspunkt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või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täika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riiul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tuba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kuhu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saab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tuua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korras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taaskasutatavaid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asju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Ohtlike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jäätmete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tekkimist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vähendatakse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muuhulgas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vesilahustuvaid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värve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taaslaetavaid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akusid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akupatareisid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kasutades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Biojäätmed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aiajäätmed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oksad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sorteeritakse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taaskasutuseks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Valge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värviline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paber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sorteeritakse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taaskasutuseks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Taaskasutatav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kartong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pruun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papp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sorteeritakse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taaskasutuseks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Metall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sorteeritakse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taaskasutuseks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Plastmass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energiafraktsioon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sorteeritakse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taaskasutuseks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Puhas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immutatud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puit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sorteeritakse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taaskasutuseks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Masinatest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tulevad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jäätmed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romuautod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vanad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rehvid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kogumispunktidele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Elektri-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elektroonikakajäätmed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selleks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ettenähtud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kogumiskohta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Ohtlikud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jäätmed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ohtlike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jäätmete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kogumiskohta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Uued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töötajad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asendajad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jäätmetega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seotud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küsimustega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kurssi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7DD5" w:rsidRDefault="000D7DD5">
      <w:pPr>
        <w:ind w:left="-900"/>
        <w:rPr>
          <w:rFonts w:ascii="Arial" w:hAnsi="Arial" w:cs="Arial"/>
          <w:sz w:val="22"/>
          <w:szCs w:val="22"/>
        </w:rPr>
      </w:pPr>
    </w:p>
    <w:p w:rsidR="000D7DD5" w:rsidRDefault="000D7DD5">
      <w:pPr>
        <w:ind w:left="-90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Järgmised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jäätmete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tekkimise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ennetamise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meetmed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b/>
          <w:sz w:val="22"/>
          <w:szCs w:val="22"/>
        </w:rPr>
        <w:t>nimetatud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b/>
          <w:sz w:val="22"/>
          <w:szCs w:val="22"/>
        </w:rPr>
        <w:t>punktis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Hanked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kuhu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võib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märkida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jah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või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ei:</w:t>
      </w:r>
    </w:p>
    <w:tbl>
      <w:tblPr>
        <w:tblW w:w="0" w:type="auto"/>
        <w:tblInd w:w="-1005" w:type="dxa"/>
        <w:tblLayout w:type="fixed"/>
        <w:tblLook w:val="0000"/>
      </w:tblPr>
      <w:tblGrid>
        <w:gridCol w:w="10506"/>
      </w:tblGrid>
      <w:tr w:rsidR="000D7DD5">
        <w:trPr>
          <w:trHeight w:val="293"/>
        </w:trPr>
        <w:tc>
          <w:tcPr>
            <w:tcW w:w="10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0D7DD5" w:rsidRDefault="000D7DD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Töökohtadele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hangitakse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ainult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seda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mida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tõepoolest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vaja</w:t>
            </w:r>
          </w:p>
        </w:tc>
      </w:tr>
      <w:tr w:rsidR="000D7DD5">
        <w:trPr>
          <w:trHeight w:val="308"/>
        </w:trPr>
        <w:tc>
          <w:tcPr>
            <w:tcW w:w="10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0D7DD5" w:rsidRDefault="000D7DD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Kasutusel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rullil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liikuv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süsteem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kangast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käterätikutega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paberrätikute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asemel</w:t>
            </w:r>
            <w:proofErr w:type="spellEnd"/>
          </w:p>
        </w:tc>
      </w:tr>
      <w:tr w:rsidR="000D7DD5">
        <w:trPr>
          <w:trHeight w:val="293"/>
        </w:trPr>
        <w:tc>
          <w:tcPr>
            <w:tcW w:w="10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0D7DD5" w:rsidRDefault="000D7DD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Asju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laenatakse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renditakse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ühiselt</w:t>
            </w:r>
            <w:proofErr w:type="spellEnd"/>
          </w:p>
        </w:tc>
      </w:tr>
    </w:tbl>
    <w:p w:rsidR="000D7DD5" w:rsidRPr="00B6262E" w:rsidRDefault="000D7DD5">
      <w:pPr>
        <w:ind w:left="-900"/>
        <w:rPr>
          <w:color w:val="E36C0A" w:themeColor="accent6" w:themeShade="BF"/>
          <w:sz w:val="22"/>
          <w:szCs w:val="22"/>
        </w:rPr>
      </w:pPr>
    </w:p>
    <w:p w:rsidR="000D7DD5" w:rsidRPr="00B6262E" w:rsidRDefault="000D7DD5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B6262E">
        <w:rPr>
          <w:rFonts w:ascii="Arial" w:hAnsi="Arial" w:cs="Arial"/>
          <w:b/>
          <w:color w:val="E36C0A" w:themeColor="accent6" w:themeShade="BF"/>
          <w:sz w:val="28"/>
          <w:szCs w:val="28"/>
        </w:rPr>
        <w:t>2. PABERI KASUTAMINE</w:t>
      </w:r>
    </w:p>
    <w:tbl>
      <w:tblPr>
        <w:tblW w:w="0" w:type="auto"/>
        <w:tblInd w:w="-1005" w:type="dxa"/>
        <w:tblLayout w:type="fixed"/>
        <w:tblLook w:val="0000"/>
      </w:tblPr>
      <w:tblGrid>
        <w:gridCol w:w="9180"/>
        <w:gridCol w:w="750"/>
        <w:gridCol w:w="576"/>
      </w:tblGrid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8000"/>
                <w:sz w:val="22"/>
                <w:szCs w:val="22"/>
              </w:rPr>
              <w:t>MEEDE, PROTSEDUUR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JAH</w:t>
            </w: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Paberi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kasutamist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jälgitakse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Paberi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kokkuhoid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osa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tulemuspalgasüsteemist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Töökollektiiv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suhtleb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elektronposti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intranetis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internetis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teadete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tahvli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kaudu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Elektronpostiteadete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printimisest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hoidutakse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arhiveerimine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toimub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elektrooniliselt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Printimine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koopiate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tegemine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toimub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kahepoolsel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ja/või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teksti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suurust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vähendavalt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lehekülge/poognat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Printimisel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eeldatakse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kahepoolset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toetava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printeri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kasutamist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Dokumendid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paberile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trükitud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teatised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kavandatakse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kahepoolsetena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Pikast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dokumendist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prinditakse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või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kopeeritakse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üksnes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vajalikud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leheküljed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kontrollitakse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tekst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arvutis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enne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printimist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eemaldatakse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ülearused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leheküljed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RP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Pr="000D7DD5" w:rsidRDefault="000D7DD5" w:rsidP="00B6262E">
            <w:pPr>
              <w:tabs>
                <w:tab w:val="left" w:pos="360"/>
              </w:tabs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Ühepoolselt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prinditud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tarbetud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paberid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kasutatakse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uuesti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P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P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tabs>
                <w:tab w:val="left" w:pos="360"/>
              </w:tabs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ajakirju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loetakse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ringluses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Mõttetutest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ülearustest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lehtedest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reklaamidest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loobutakse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Kasutusel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siseposti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ümbrikud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Koosolekutel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dataprojektorit (+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koosolekute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dokumendid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elektroonilisel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kujul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Arhiveerivad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üksnes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teatud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isikud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arhiveeritaks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mitmekordselt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Uued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töötajad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asendajad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kurssi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paberisäästuga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7DD5" w:rsidRPr="00B6262E" w:rsidRDefault="000D7DD5">
      <w:pPr>
        <w:ind w:left="-900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0D7DD5" w:rsidRPr="00B6262E" w:rsidRDefault="000D7DD5">
      <w:pPr>
        <w:ind w:left="-90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B6262E">
        <w:rPr>
          <w:rFonts w:ascii="Arial" w:hAnsi="Arial" w:cs="Arial"/>
          <w:b/>
          <w:color w:val="E36C0A" w:themeColor="accent6" w:themeShade="BF"/>
          <w:sz w:val="28"/>
          <w:szCs w:val="28"/>
        </w:rPr>
        <w:t>3. ENERGIA JA VEE TARBIMINE</w:t>
      </w:r>
    </w:p>
    <w:tbl>
      <w:tblPr>
        <w:tblW w:w="0" w:type="auto"/>
        <w:tblInd w:w="-1005" w:type="dxa"/>
        <w:tblLayout w:type="fixed"/>
        <w:tblLook w:val="0000"/>
      </w:tblPr>
      <w:tblGrid>
        <w:gridCol w:w="9180"/>
        <w:gridCol w:w="750"/>
        <w:gridCol w:w="576"/>
      </w:tblGrid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8000"/>
                <w:sz w:val="22"/>
                <w:szCs w:val="22"/>
              </w:rPr>
              <w:t>MEEDE, PROTSEDUUR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JAH</w:t>
            </w: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Hoonele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tehtud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energiaaudit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Energiakokkuhoid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osa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tulemuspalgast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Töökollektiiv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osaleb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energiasäästunädalas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Arvutid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lülitatakse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alati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välja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selleks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luba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Ooterežiimil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olevad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lülitatakse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tööpäeva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lõpuks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välja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Voolusäästuautomaatika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kasutuses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kõikides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seadmetes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Tööruumide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temperatuur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maksimaalselt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21–22°C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Aknatihendite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radiaatorite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seisukorda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kontrollitakse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igal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aastal</w:t>
            </w:r>
            <w:proofErr w:type="spellEnd"/>
          </w:p>
          <w:p w:rsidR="000D7DD5" w:rsidRDefault="000D7DD5" w:rsidP="00B626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vajadusel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teavitatakse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kinnisvarahooldust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Mööbel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paigutatud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et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radiaatorid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poleks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mööbliga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varjatud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tööruumidest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lahkutakse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kauemaks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minutiks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kustutatakse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riimidest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tuled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Ruumid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valgustatud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energiasäästu-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led-lampide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või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luminofoorlampidega</w:t>
            </w:r>
            <w:proofErr w:type="spellEnd"/>
          </w:p>
          <w:p w:rsidR="000D7DD5" w:rsidRDefault="000D7DD5" w:rsidP="00B626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energiasäästulambid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luminofoorlambid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kuuluvad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ohtlike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jäätmete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hulka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Looduslikku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valgust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ruumide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valgustamisel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Treppe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lifti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välditakse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Tööruumides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piisav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õhuvahetus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ventilatsioon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reguleeritud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sobivale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tasemele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hooldatakse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regulaarselt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Segisteid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kraane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wc-potte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kontrollitakse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igal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aastal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esineks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lekkeid</w:t>
            </w:r>
            <w:proofErr w:type="spellEnd"/>
          </w:p>
          <w:p w:rsidR="000D7DD5" w:rsidRDefault="000D7DD5" w:rsidP="00B626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vajadusel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teavitatakse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kinnisvarahooldust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Kasutusel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vett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säästvad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nõude-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pesumasinad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kraanid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täis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masinatega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masinatel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säästuprogramme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Taaskasutusse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minevad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pakendid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vedelikupakendid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metall-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klaaspakendid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loputatakse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külma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veega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Ahjude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plaatide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järelsoojust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toidu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valmistamisel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pliidiplaatidel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sobiva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suurusega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potte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õige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suurusega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potikaaasi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Külmkapi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temperatuur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+5°C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sügavkülmikul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-18°C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sulatatakse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igal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aastal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Külmaseadmete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tihendeid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kondensaatoreid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puhastatakse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igal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aastal</w:t>
            </w:r>
            <w:proofErr w:type="spellEnd"/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Uued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töötajad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asendajad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energia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säästuga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kurssi</w:t>
            </w: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8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7DD5" w:rsidRDefault="000D7DD5">
      <w:pPr>
        <w:ind w:left="-900"/>
      </w:pPr>
    </w:p>
    <w:p w:rsidR="00B6262E" w:rsidRDefault="00B6262E">
      <w:pPr>
        <w:ind w:left="-900"/>
        <w:rPr>
          <w:rFonts w:ascii="Arial" w:hAnsi="Arial" w:cs="Arial"/>
          <w:b/>
          <w:color w:val="0000FF"/>
          <w:sz w:val="28"/>
          <w:szCs w:val="28"/>
        </w:rPr>
      </w:pPr>
    </w:p>
    <w:p w:rsidR="00B6262E" w:rsidRDefault="00B6262E">
      <w:pPr>
        <w:ind w:left="-900"/>
        <w:rPr>
          <w:rFonts w:ascii="Arial" w:hAnsi="Arial" w:cs="Arial"/>
          <w:b/>
          <w:color w:val="0000FF"/>
          <w:sz w:val="28"/>
          <w:szCs w:val="28"/>
        </w:rPr>
      </w:pPr>
    </w:p>
    <w:p w:rsidR="00F028D5" w:rsidRDefault="00F028D5">
      <w:pPr>
        <w:ind w:left="-900"/>
        <w:rPr>
          <w:rFonts w:ascii="Arial" w:hAnsi="Arial" w:cs="Arial"/>
          <w:b/>
          <w:color w:val="0000FF"/>
          <w:sz w:val="28"/>
          <w:szCs w:val="28"/>
        </w:rPr>
      </w:pPr>
    </w:p>
    <w:p w:rsidR="00B6262E" w:rsidRDefault="00B6262E">
      <w:pPr>
        <w:ind w:left="-900"/>
        <w:rPr>
          <w:rFonts w:ascii="Arial" w:hAnsi="Arial" w:cs="Arial"/>
          <w:b/>
          <w:color w:val="0000FF"/>
          <w:sz w:val="28"/>
          <w:szCs w:val="28"/>
        </w:rPr>
      </w:pPr>
    </w:p>
    <w:p w:rsidR="000D7DD5" w:rsidRPr="00B6262E" w:rsidRDefault="000D7DD5">
      <w:pPr>
        <w:ind w:left="-90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B6262E">
        <w:rPr>
          <w:rFonts w:ascii="Arial" w:hAnsi="Arial" w:cs="Arial"/>
          <w:b/>
          <w:color w:val="E36C0A" w:themeColor="accent6" w:themeShade="BF"/>
          <w:sz w:val="28"/>
          <w:szCs w:val="28"/>
        </w:rPr>
        <w:t>4. LIIKUMINE</w:t>
      </w:r>
    </w:p>
    <w:tbl>
      <w:tblPr>
        <w:tblW w:w="10506" w:type="dxa"/>
        <w:tblInd w:w="-1005" w:type="dxa"/>
        <w:tblLayout w:type="fixed"/>
        <w:tblLook w:val="0000"/>
      </w:tblPr>
      <w:tblGrid>
        <w:gridCol w:w="9165"/>
        <w:gridCol w:w="765"/>
        <w:gridCol w:w="576"/>
      </w:tblGrid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8000"/>
                <w:sz w:val="22"/>
                <w:szCs w:val="22"/>
              </w:rPr>
              <w:t>PROTSEDUUR, MEEDE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JAH</w:t>
            </w: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Töökollektiiv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osaleb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kampaaniates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Autovaba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päev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22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.9.)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Liigset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sõitmist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välditakse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läheme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liikudes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ehk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teisisõnu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motiveeritakse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töötajaid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rattaga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sõitma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jalgsi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käima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Personali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duširuumid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riietusruumid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korras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Ratastele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turvaline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hoiukoht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piisavalt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rataste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parkimise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raame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personali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ühiskasutuses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olevaid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asutuse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jalgrattaid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RP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P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Soositud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on 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ühistransport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eriti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>rong</w:t>
            </w:r>
            <w:proofErr w:type="spellEnd"/>
            <w:r w:rsidRPr="000D7D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), 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P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P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Soositud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autokasutus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(sama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marsruudi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äärest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võetakse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auto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inimesi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täis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Soositud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elektroonilised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nõupidamised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elektrooniline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asjaajamine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Koosolekukutsel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kirjas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selgitus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kuidas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koosolekule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ühistranspordiga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kohale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tulla 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Kaugtööd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võib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teha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tööülesanded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seda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võimaldavad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Personalile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korraldatakse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ökonoomse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sõidustiili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õppimise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kursusi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Sõidetakse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ökonoomselt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välditakse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tarbetut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tühikäiku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Uued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töötajad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asendajad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kurssi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ökoloogilise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liikumisega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7DD5" w:rsidRDefault="000D7DD5">
      <w:pPr>
        <w:ind w:left="-900"/>
      </w:pPr>
    </w:p>
    <w:p w:rsidR="000D7DD5" w:rsidRPr="00B6262E" w:rsidRDefault="000D7DD5" w:rsidP="00B6262E">
      <w:pPr>
        <w:ind w:left="-993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B6262E">
        <w:rPr>
          <w:rFonts w:ascii="Arial" w:hAnsi="Arial" w:cs="Arial"/>
          <w:b/>
          <w:color w:val="E36C0A" w:themeColor="accent6" w:themeShade="BF"/>
          <w:sz w:val="28"/>
          <w:szCs w:val="28"/>
        </w:rPr>
        <w:t>5. HANKED</w:t>
      </w:r>
    </w:p>
    <w:tbl>
      <w:tblPr>
        <w:tblW w:w="10506" w:type="dxa"/>
        <w:tblInd w:w="-1005" w:type="dxa"/>
        <w:tblLayout w:type="fixed"/>
        <w:tblLook w:val="0000"/>
      </w:tblPr>
      <w:tblGrid>
        <w:gridCol w:w="9150"/>
        <w:gridCol w:w="765"/>
        <w:gridCol w:w="591"/>
      </w:tblGrid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8000"/>
                <w:sz w:val="22"/>
                <w:szCs w:val="22"/>
              </w:rPr>
              <w:t>MEEDE, PROTSEDUUR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JAH</w:t>
            </w: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Töökohtades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hangitakse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seda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mida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tõepoolest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vajatakse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Kõige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odavama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asemel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hangitakse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terviku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seisukohalt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kõige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ökonoomsem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keskkonnamärgiga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teenuseid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(sh eesti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mahemärk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EL-lill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õiglane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kaubandus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taaskasutatavatest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materjalidest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toodetud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asju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mahetoodang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lähipiirkonnas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toodetud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Sisseseade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mööbli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osas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kodumaist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pikaealist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vastupidavat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taaskasutatavaid/korduskasutuses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olevaid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remonditavaid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asju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Ühekordselt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kasutatavatest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kergesti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purunevatest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kontoritarvetest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hoidutakse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muretsetakse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näiteks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vahetatava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sisuga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täidetavaid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kirjutusvahendeid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Kaaned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mapid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jms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eelistatavalt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papist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polüpropeenist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või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utiliseeritud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plastist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valmistatud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tooteid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Siis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toodet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kulub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palju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aegu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kiiresti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hangitakse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suurte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partiidena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eraldi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pakitute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asemel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Joogid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hangitakse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pandipakendis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tagastatavates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pudelites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PVC:d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sisaldavaid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grafoprojektori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kiled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välditakse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Veeslahustuvaid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vildikaid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korrektuurvahendeid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eelistatakse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mikrokiudlappe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biolagunevaid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pesu-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puhastusaineid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Ühekordsetele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toodetele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eelistatakse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kestvustooteid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WC-des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muudes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ruumides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korduvkasutusega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käterätikurulle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Tooteid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laenutatakse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renditakse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kasutatakse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ühiselt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Arvuteid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muid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muretsedes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energiatõhusad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(mm. Energy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Star-märgiga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energiamärgistusega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Printerit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hankides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valitakse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kahepoolselt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printiv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seade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7DD5" w:rsidTr="00B6262E">
        <w:trPr>
          <w:trHeight w:val="284"/>
        </w:trPr>
        <w:tc>
          <w:tcPr>
            <w:tcW w:w="91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Uued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töötajad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asendajad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viiakse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kurssi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ökoloogiliste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hangetega</w:t>
            </w:r>
            <w:proofErr w:type="spellEnd"/>
          </w:p>
        </w:tc>
        <w:tc>
          <w:tcPr>
            <w:tcW w:w="7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D7DD5" w:rsidRDefault="000D7DD5" w:rsidP="00B626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7DD5" w:rsidRDefault="000D7DD5">
      <w:pPr>
        <w:rPr>
          <w:rFonts w:ascii="Arial" w:hAnsi="Arial" w:cs="Arial"/>
        </w:rPr>
      </w:pPr>
    </w:p>
    <w:p w:rsidR="000D7DD5" w:rsidRDefault="000D7DD5">
      <w:proofErr w:type="spellStart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>Kommentaarid</w:t>
      </w:r>
      <w:proofErr w:type="spellEnd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 xml:space="preserve"> ja </w:t>
      </w:r>
      <w:proofErr w:type="spellStart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>ettepanekud</w:t>
      </w:r>
      <w:proofErr w:type="spellEnd"/>
      <w:r>
        <w:rPr>
          <w:rFonts w:ascii="Arial" w:hAnsi="Arial" w:cs="Arial"/>
          <w:b/>
          <w:bCs/>
          <w:i/>
          <w:iCs/>
          <w:color w:val="008000"/>
          <w:sz w:val="22"/>
          <w:szCs w:val="22"/>
        </w:rPr>
        <w:t>:</w:t>
      </w:r>
    </w:p>
    <w:sectPr w:rsidR="000D7DD5" w:rsidSect="00B6262E">
      <w:headerReference w:type="default" r:id="rId7"/>
      <w:footerReference w:type="default" r:id="rId8"/>
      <w:footnotePr>
        <w:pos w:val="beneathText"/>
      </w:footnotePr>
      <w:pgSz w:w="11905" w:h="16837"/>
      <w:pgMar w:top="1701" w:right="1134" w:bottom="2268" w:left="187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D5" w:rsidRDefault="000D7DD5">
      <w:r>
        <w:separator/>
      </w:r>
    </w:p>
  </w:endnote>
  <w:endnote w:type="continuationSeparator" w:id="0">
    <w:p w:rsidR="000D7DD5" w:rsidRDefault="000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D5" w:rsidRDefault="00B6262E">
    <w:pPr>
      <w:pStyle w:val="Alatunniste"/>
      <w:ind w:left="-1871"/>
      <w:rPr>
        <w:sz w:val="20"/>
        <w:lang w:val="fi-FI"/>
      </w:rPr>
    </w:pPr>
    <w:r>
      <w:rPr>
        <w:noProof/>
        <w:lang w:eastAsia="fi-FI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-1188085</wp:posOffset>
          </wp:positionH>
          <wp:positionV relativeFrom="paragraph">
            <wp:posOffset>-1181100</wp:posOffset>
          </wp:positionV>
          <wp:extent cx="7559040" cy="1351915"/>
          <wp:effectExtent l="19050" t="0" r="381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51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D5" w:rsidRDefault="000D7DD5">
      <w:r>
        <w:separator/>
      </w:r>
    </w:p>
  </w:footnote>
  <w:footnote w:type="continuationSeparator" w:id="0">
    <w:p w:rsidR="000D7DD5" w:rsidRDefault="000D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D5" w:rsidRDefault="00B6262E">
    <w:pPr>
      <w:pStyle w:val="Yltunniste"/>
      <w:ind w:left="-1871"/>
      <w:rPr>
        <w:sz w:val="20"/>
        <w:lang w:val="fi-FI"/>
      </w:rPr>
    </w:pPr>
    <w:r>
      <w:rPr>
        <w:noProof/>
        <w:lang w:eastAsia="fi-FI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-1188085</wp:posOffset>
          </wp:positionH>
          <wp:positionV relativeFrom="paragraph">
            <wp:posOffset>60325</wp:posOffset>
          </wp:positionV>
          <wp:extent cx="7559040" cy="1009650"/>
          <wp:effectExtent l="19050" t="0" r="381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895E75"/>
    <w:multiLevelType w:val="hybridMultilevel"/>
    <w:tmpl w:val="73E6CB46"/>
    <w:lvl w:ilvl="0" w:tplc="F4B09FE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" w:hanging="360"/>
      </w:pPr>
    </w:lvl>
    <w:lvl w:ilvl="2" w:tplc="040B001B" w:tentative="1">
      <w:start w:val="1"/>
      <w:numFmt w:val="lowerRoman"/>
      <w:lvlText w:val="%3."/>
      <w:lvlJc w:val="right"/>
      <w:pPr>
        <w:ind w:left="900" w:hanging="180"/>
      </w:pPr>
    </w:lvl>
    <w:lvl w:ilvl="3" w:tplc="040B000F" w:tentative="1">
      <w:start w:val="1"/>
      <w:numFmt w:val="decimal"/>
      <w:lvlText w:val="%4."/>
      <w:lvlJc w:val="left"/>
      <w:pPr>
        <w:ind w:left="1620" w:hanging="360"/>
      </w:pPr>
    </w:lvl>
    <w:lvl w:ilvl="4" w:tplc="040B0019" w:tentative="1">
      <w:start w:val="1"/>
      <w:numFmt w:val="lowerLetter"/>
      <w:lvlText w:val="%5."/>
      <w:lvlJc w:val="left"/>
      <w:pPr>
        <w:ind w:left="2340" w:hanging="360"/>
      </w:pPr>
    </w:lvl>
    <w:lvl w:ilvl="5" w:tplc="040B001B" w:tentative="1">
      <w:start w:val="1"/>
      <w:numFmt w:val="lowerRoman"/>
      <w:lvlText w:val="%6."/>
      <w:lvlJc w:val="right"/>
      <w:pPr>
        <w:ind w:left="3060" w:hanging="180"/>
      </w:pPr>
    </w:lvl>
    <w:lvl w:ilvl="6" w:tplc="040B000F" w:tentative="1">
      <w:start w:val="1"/>
      <w:numFmt w:val="decimal"/>
      <w:lvlText w:val="%7."/>
      <w:lvlJc w:val="left"/>
      <w:pPr>
        <w:ind w:left="3780" w:hanging="360"/>
      </w:pPr>
    </w:lvl>
    <w:lvl w:ilvl="7" w:tplc="040B0019" w:tentative="1">
      <w:start w:val="1"/>
      <w:numFmt w:val="lowerLetter"/>
      <w:lvlText w:val="%8."/>
      <w:lvlJc w:val="left"/>
      <w:pPr>
        <w:ind w:left="4500" w:hanging="360"/>
      </w:pPr>
    </w:lvl>
    <w:lvl w:ilvl="8" w:tplc="040B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7DD5"/>
    <w:rsid w:val="000D7DD5"/>
    <w:rsid w:val="00B6262E"/>
    <w:rsid w:val="00F0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ind w:left="-900"/>
      <w:jc w:val="both"/>
      <w:outlineLvl w:val="0"/>
    </w:pPr>
    <w:rPr>
      <w:rFonts w:ascii="Arial" w:hAnsi="Arial" w:cs="Arial"/>
      <w:b/>
      <w:sz w:val="32"/>
      <w:szCs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styleId="Hyperlinkki">
    <w:name w:val="Hyperlink"/>
    <w:semiHidden/>
    <w:rPr>
      <w:color w:val="000080"/>
      <w:u w:val="single"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Caption">
    <w:name w:val="Caption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i"/>
    <w:pPr>
      <w:suppressLineNumbers/>
    </w:pPr>
    <w:rPr>
      <w:rFonts w:cs="Tahoma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894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Lisää tähän otsikko</vt:lpstr>
      <vt:lpstr>ÖKOTUGITEGEVUSE ESIALGNE KAARDISTAMINE</vt:lpstr>
    </vt:vector>
  </TitlesOfParts>
  <Company>Helsingin kaupunki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Lisää tähän otsikko</dc:title>
  <dc:subject/>
  <dc:creator>Ahto Oja</dc:creator>
  <cp:keywords/>
  <cp:lastModifiedBy>Mia Malin</cp:lastModifiedBy>
  <cp:revision>3</cp:revision>
  <cp:lastPrinted>2011-07-11T08:31:00Z</cp:lastPrinted>
  <dcterms:created xsi:type="dcterms:W3CDTF">2011-07-11T08:31:00Z</dcterms:created>
  <dcterms:modified xsi:type="dcterms:W3CDTF">2011-07-11T08:32:00Z</dcterms:modified>
</cp:coreProperties>
</file>